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E97" w:rsidRPr="00D60267" w:rsidRDefault="00D60267" w:rsidP="00BF2239">
      <w:pPr>
        <w:spacing w:after="0" w:line="240" w:lineRule="auto"/>
        <w:rPr>
          <w:b/>
          <w:lang w:val="cs-CZ"/>
        </w:rPr>
      </w:pPr>
      <w:r w:rsidRPr="00D60267">
        <w:rPr>
          <w:b/>
          <w:lang w:val="cs-CZ"/>
        </w:rPr>
        <w:t>Důchodová reforma očima NERV</w:t>
      </w:r>
    </w:p>
    <w:p w:rsidR="00BF2239" w:rsidRPr="00D60267" w:rsidRDefault="00BF2239" w:rsidP="00BF2239">
      <w:pPr>
        <w:spacing w:after="0" w:line="240" w:lineRule="auto"/>
        <w:rPr>
          <w:lang w:val="cs-CZ"/>
        </w:rPr>
      </w:pPr>
    </w:p>
    <w:p w:rsidR="00BF2239" w:rsidRDefault="00D60267" w:rsidP="00BF2239">
      <w:pPr>
        <w:spacing w:after="0" w:line="240" w:lineRule="auto"/>
        <w:rPr>
          <w:lang w:val="cs-CZ"/>
        </w:rPr>
      </w:pPr>
      <w:r w:rsidRPr="00D60267">
        <w:rPr>
          <w:lang w:val="cs-CZ"/>
        </w:rPr>
        <w:t xml:space="preserve">Penzijní </w:t>
      </w:r>
      <w:r>
        <w:rPr>
          <w:lang w:val="cs-CZ"/>
        </w:rPr>
        <w:t xml:space="preserve">reforma se stala intenzivně diskutovaným tématem. Doporučení NERV bývá </w:t>
      </w:r>
      <w:r w:rsidR="001609E1">
        <w:rPr>
          <w:lang w:val="cs-CZ"/>
        </w:rPr>
        <w:t>mnohdy zkresleno až dezinterpretováno. Proto touto cestou shrnujeme základní rysy důchodové reformy tak, jak j</w:t>
      </w:r>
      <w:r w:rsidR="00C700D8">
        <w:rPr>
          <w:lang w:val="cs-CZ"/>
        </w:rPr>
        <w:t>i</w:t>
      </w:r>
      <w:r w:rsidR="001609E1">
        <w:rPr>
          <w:lang w:val="cs-CZ"/>
        </w:rPr>
        <w:t xml:space="preserve"> v prosinci 2010 doporučil</w:t>
      </w:r>
      <w:r>
        <w:rPr>
          <w:lang w:val="cs-CZ"/>
        </w:rPr>
        <w:t xml:space="preserve"> NERV.</w:t>
      </w:r>
    </w:p>
    <w:p w:rsidR="001609E1" w:rsidRDefault="001609E1" w:rsidP="00BF2239">
      <w:pPr>
        <w:spacing w:after="0" w:line="240" w:lineRule="auto"/>
        <w:rPr>
          <w:lang w:val="cs-CZ"/>
        </w:rPr>
      </w:pPr>
    </w:p>
    <w:p w:rsidR="001609E1" w:rsidRPr="00D60267" w:rsidRDefault="001609E1" w:rsidP="00BF2239">
      <w:pPr>
        <w:spacing w:after="0" w:line="240" w:lineRule="auto"/>
        <w:rPr>
          <w:lang w:val="cs-CZ"/>
        </w:rPr>
      </w:pPr>
      <w:r>
        <w:rPr>
          <w:lang w:val="cs-CZ"/>
        </w:rPr>
        <w:t xml:space="preserve">Předně je třeba začít od cílů, kterých by reforma měla dosáhnout. Jakkoliv jsou správně stanovené cíle </w:t>
      </w:r>
      <w:r w:rsidR="00C700D8">
        <w:rPr>
          <w:lang w:val="cs-CZ"/>
        </w:rPr>
        <w:t xml:space="preserve">naprosto </w:t>
      </w:r>
      <w:r>
        <w:rPr>
          <w:lang w:val="cs-CZ"/>
        </w:rPr>
        <w:t xml:space="preserve">klíčové, pozornosti v debatách se jim nedostává. NERV doporučil, aby důchodová reforma (i) </w:t>
      </w:r>
      <w:r w:rsidR="00B94F6C">
        <w:rPr>
          <w:lang w:val="cs-CZ"/>
        </w:rPr>
        <w:t>doplnila do povinného důchodového systému vedle průběžně financovaného pilíře i pilíř kapitálový</w:t>
      </w:r>
      <w:r>
        <w:rPr>
          <w:lang w:val="cs-CZ"/>
        </w:rPr>
        <w:t>; (</w:t>
      </w:r>
      <w:proofErr w:type="spellStart"/>
      <w:r>
        <w:rPr>
          <w:lang w:val="cs-CZ"/>
        </w:rPr>
        <w:t>ii</w:t>
      </w:r>
      <w:proofErr w:type="spellEnd"/>
      <w:r>
        <w:rPr>
          <w:lang w:val="cs-CZ"/>
        </w:rPr>
        <w:t>) zajistila fiskální udržitelnost; (</w:t>
      </w:r>
      <w:proofErr w:type="spellStart"/>
      <w:r>
        <w:rPr>
          <w:lang w:val="cs-CZ"/>
        </w:rPr>
        <w:t>iii</w:t>
      </w:r>
      <w:proofErr w:type="spellEnd"/>
      <w:r>
        <w:rPr>
          <w:lang w:val="cs-CZ"/>
        </w:rPr>
        <w:t>) lépe rozložila mezigenerační břemena a (</w:t>
      </w:r>
      <w:proofErr w:type="spellStart"/>
      <w:r>
        <w:rPr>
          <w:lang w:val="cs-CZ"/>
        </w:rPr>
        <w:t>iv</w:t>
      </w:r>
      <w:proofErr w:type="spellEnd"/>
      <w:r>
        <w:rPr>
          <w:lang w:val="cs-CZ"/>
        </w:rPr>
        <w:t xml:space="preserve">) zlepšila zásluhovost povinného důchodového systému. Jinými slovy, nevsázejme v povinném důchodovém systému vše na jednu kartu. Zabraňme situaci, kdy na 1/3 budoucích výdajů systém nebude mít zdroje. Rozložme náklady přizpůsobení důchodového systému na více generací. Zlepšeme vztah mezi tím, co člověk celoživotně do povinného důchodového systému zaplatí </w:t>
      </w:r>
      <w:r w:rsidR="00C700D8">
        <w:rPr>
          <w:lang w:val="cs-CZ"/>
        </w:rPr>
        <w:t>a</w:t>
      </w:r>
      <w:r>
        <w:rPr>
          <w:lang w:val="cs-CZ"/>
        </w:rPr>
        <w:t xml:space="preserve"> co ze systému celoživotně získá.</w:t>
      </w:r>
    </w:p>
    <w:p w:rsidR="00BF2239" w:rsidRPr="00D60267" w:rsidRDefault="00BF2239" w:rsidP="00BF2239">
      <w:pPr>
        <w:spacing w:after="0" w:line="240" w:lineRule="auto"/>
        <w:rPr>
          <w:lang w:val="cs-CZ"/>
        </w:rPr>
      </w:pPr>
    </w:p>
    <w:p w:rsidR="00BF2239" w:rsidRDefault="001609E1" w:rsidP="00BF2239">
      <w:pPr>
        <w:spacing w:after="0" w:line="240" w:lineRule="auto"/>
        <w:rPr>
          <w:lang w:val="cs-CZ"/>
        </w:rPr>
      </w:pPr>
      <w:r>
        <w:rPr>
          <w:lang w:val="cs-CZ"/>
        </w:rPr>
        <w:t xml:space="preserve">K dosažení těchto cílů NERV doporučil řadu tzv. parametrických úprav průběžně financovaného </w:t>
      </w:r>
      <w:r w:rsidR="00C700D8">
        <w:rPr>
          <w:lang w:val="cs-CZ"/>
        </w:rPr>
        <w:t>pilíře</w:t>
      </w:r>
      <w:r>
        <w:rPr>
          <w:lang w:val="cs-CZ"/>
        </w:rPr>
        <w:t xml:space="preserve">, například pokračování </w:t>
      </w:r>
      <w:r w:rsidR="00AE0428">
        <w:rPr>
          <w:lang w:val="cs-CZ"/>
        </w:rPr>
        <w:t>ve zvyšování věkové hranice pro odchod do důchodu, postupný přechod na cenovou valorizaci důchodů, snížení stropu pro placení pojistného na trojnásobek průměrné mzdy</w:t>
      </w:r>
      <w:r w:rsidR="00B94F6C">
        <w:rPr>
          <w:lang w:val="cs-CZ"/>
        </w:rPr>
        <w:t>, společný vyměřovací základ manželů</w:t>
      </w:r>
      <w:r w:rsidR="00AE0428">
        <w:rPr>
          <w:lang w:val="cs-CZ"/>
        </w:rPr>
        <w:t xml:space="preserve"> atd.</w:t>
      </w:r>
    </w:p>
    <w:p w:rsidR="00AE0428" w:rsidRDefault="00AE0428" w:rsidP="00BF2239">
      <w:pPr>
        <w:spacing w:after="0" w:line="240" w:lineRule="auto"/>
        <w:rPr>
          <w:lang w:val="cs-CZ"/>
        </w:rPr>
      </w:pPr>
    </w:p>
    <w:p w:rsidR="00AE0428" w:rsidRDefault="00AE0428" w:rsidP="00BF2239">
      <w:pPr>
        <w:spacing w:after="0" w:line="240" w:lineRule="auto"/>
        <w:rPr>
          <w:lang w:val="cs-CZ"/>
        </w:rPr>
      </w:pPr>
      <w:r>
        <w:rPr>
          <w:lang w:val="cs-CZ"/>
        </w:rPr>
        <w:t xml:space="preserve">NERV dále doporučil zavedení malého, ale povinného spořicího pilíře, kde si občané mladší 40 let budou povinně spořit na část své penze. Povinné spoření </w:t>
      </w:r>
      <w:r w:rsidR="00C700D8">
        <w:rPr>
          <w:lang w:val="cs-CZ"/>
        </w:rPr>
        <w:t xml:space="preserve">je </w:t>
      </w:r>
      <w:r>
        <w:rPr>
          <w:lang w:val="cs-CZ"/>
        </w:rPr>
        <w:t>hrazené odkloněním 3</w:t>
      </w:r>
      <w:r w:rsidR="00B94F6C">
        <w:rPr>
          <w:lang w:val="cs-CZ"/>
        </w:rPr>
        <w:t>%</w:t>
      </w:r>
      <w:r>
        <w:rPr>
          <w:lang w:val="cs-CZ"/>
        </w:rPr>
        <w:t xml:space="preserve"> z příspěvkové sazby, která financuje průběžný pilíř, bez dalšího </w:t>
      </w:r>
      <w:r w:rsidR="00B94F6C">
        <w:rPr>
          <w:lang w:val="cs-CZ"/>
        </w:rPr>
        <w:t>spolufinancování</w:t>
      </w:r>
      <w:r>
        <w:rPr>
          <w:lang w:val="cs-CZ"/>
        </w:rPr>
        <w:t xml:space="preserve"> ze strany </w:t>
      </w:r>
      <w:r w:rsidR="00C700D8">
        <w:rPr>
          <w:lang w:val="cs-CZ"/>
        </w:rPr>
        <w:t>občana</w:t>
      </w:r>
      <w:r>
        <w:rPr>
          <w:lang w:val="cs-CZ"/>
        </w:rPr>
        <w:t xml:space="preserve">. Takto nejlépe i pro </w:t>
      </w:r>
      <w:proofErr w:type="spellStart"/>
      <w:r>
        <w:rPr>
          <w:lang w:val="cs-CZ"/>
        </w:rPr>
        <w:t>nízkopříjmové</w:t>
      </w:r>
      <w:proofErr w:type="spellEnd"/>
      <w:r>
        <w:rPr>
          <w:lang w:val="cs-CZ"/>
        </w:rPr>
        <w:t xml:space="preserve"> skupiny obyvatelstva zajistíme, že ve stáří nebudou závislí pouze na </w:t>
      </w:r>
      <w:r w:rsidR="00B94F6C">
        <w:rPr>
          <w:lang w:val="cs-CZ"/>
        </w:rPr>
        <w:t xml:space="preserve">(také nejistém) </w:t>
      </w:r>
      <w:r>
        <w:rPr>
          <w:lang w:val="cs-CZ"/>
        </w:rPr>
        <w:t>příjmu od státu, jako je tomu dnes.</w:t>
      </w:r>
    </w:p>
    <w:p w:rsidR="00AE0428" w:rsidRDefault="00AE0428" w:rsidP="00BF2239">
      <w:pPr>
        <w:spacing w:after="0" w:line="240" w:lineRule="auto"/>
        <w:rPr>
          <w:lang w:val="cs-CZ"/>
        </w:rPr>
      </w:pPr>
    </w:p>
    <w:p w:rsidR="002F6D6A" w:rsidRDefault="00AE0428" w:rsidP="002F6D6A">
      <w:pPr>
        <w:spacing w:after="0" w:line="240" w:lineRule="auto"/>
        <w:rPr>
          <w:lang w:val="cs-CZ"/>
        </w:rPr>
      </w:pPr>
      <w:r>
        <w:rPr>
          <w:lang w:val="cs-CZ"/>
        </w:rPr>
        <w:t xml:space="preserve">Aby spořicí pilíř dosáhl svých cílů, je nezbytné zajistit </w:t>
      </w:r>
      <w:r w:rsidR="00B94F6C">
        <w:rPr>
          <w:lang w:val="cs-CZ"/>
        </w:rPr>
        <w:t xml:space="preserve">jeho </w:t>
      </w:r>
      <w:r>
        <w:rPr>
          <w:lang w:val="cs-CZ"/>
        </w:rPr>
        <w:t xml:space="preserve">nízkonákladovost. Proto NERV doporučil, aby výběr pojistného a provozní správu prováděla </w:t>
      </w:r>
      <w:r w:rsidR="00B95AB1">
        <w:rPr>
          <w:lang w:val="cs-CZ"/>
        </w:rPr>
        <w:t xml:space="preserve">pokud možno </w:t>
      </w:r>
      <w:r>
        <w:rPr>
          <w:lang w:val="cs-CZ"/>
        </w:rPr>
        <w:t xml:space="preserve">ČSSZ, instituce, která již dnes obhospodařuje průběžný pilíř. </w:t>
      </w:r>
      <w:r w:rsidR="002F6D6A">
        <w:rPr>
          <w:lang w:val="cs-CZ"/>
        </w:rPr>
        <w:t>Pokud by ČSSZ nebyla schopna se na svou roli ve druhém pilíři důchodového systému včas a s přiměřenými náklady připravit, existuje alternativ</w:t>
      </w:r>
      <w:r w:rsidR="00B95AB1">
        <w:rPr>
          <w:lang w:val="cs-CZ"/>
        </w:rPr>
        <w:t>a</w:t>
      </w:r>
      <w:r w:rsidR="002F6D6A">
        <w:rPr>
          <w:lang w:val="cs-CZ"/>
        </w:rPr>
        <w:t xml:space="preserve"> spočívající ve využití služeb centrálního depozitáře cenných papírů v kombinaci se systémem </w:t>
      </w:r>
      <w:proofErr w:type="spellStart"/>
      <w:r w:rsidR="002F6D6A">
        <w:rPr>
          <w:lang w:val="cs-CZ"/>
        </w:rPr>
        <w:t>Czech</w:t>
      </w:r>
      <w:proofErr w:type="spellEnd"/>
      <w:r w:rsidR="002F6D6A">
        <w:rPr>
          <w:lang w:val="cs-CZ"/>
        </w:rPr>
        <w:t xml:space="preserve"> point.</w:t>
      </w:r>
    </w:p>
    <w:p w:rsidR="002F6D6A" w:rsidRDefault="002F6D6A" w:rsidP="00BF2239">
      <w:pPr>
        <w:spacing w:after="0" w:line="240" w:lineRule="auto"/>
        <w:rPr>
          <w:lang w:val="cs-CZ"/>
        </w:rPr>
      </w:pPr>
    </w:p>
    <w:p w:rsidR="00B95AB1" w:rsidRDefault="00B95AB1" w:rsidP="00B95AB1">
      <w:pPr>
        <w:spacing w:after="0" w:line="240" w:lineRule="auto"/>
        <w:rPr>
          <w:lang w:val="cs-CZ"/>
        </w:rPr>
      </w:pPr>
      <w:r>
        <w:rPr>
          <w:lang w:val="cs-CZ"/>
        </w:rPr>
        <w:t>NERV doporučil, aby investičními správci prostředků ve spořicím pilíři mohli být všechny vhodné instituce, které již na trhu existují. Tedy nejen penzijní fondy, pokud se stihnou včas transformovat, ale i investiční společnosti či banky. Širší nabídka služeb povede k vyšší kvalitě pro klienta a vyšší konkurenci. Zahrnutí investičních společností a bank je důležité i proto, že pokud by se zpožďovala transformace penzijních fondů (řeší se v podstatě již tři roky), nenabourá to časování důchodové reformy jako takové.</w:t>
      </w:r>
    </w:p>
    <w:p w:rsidR="00B95AB1" w:rsidRDefault="00B95AB1" w:rsidP="00B95AB1">
      <w:pPr>
        <w:spacing w:after="0" w:line="240" w:lineRule="auto"/>
        <w:rPr>
          <w:lang w:val="cs-CZ"/>
        </w:rPr>
      </w:pPr>
    </w:p>
    <w:p w:rsidR="002F6D6A" w:rsidRDefault="002F6D6A" w:rsidP="002F6D6A">
      <w:pPr>
        <w:spacing w:after="0" w:line="240" w:lineRule="auto"/>
        <w:rPr>
          <w:lang w:val="cs-CZ"/>
        </w:rPr>
      </w:pPr>
      <w:r>
        <w:rPr>
          <w:lang w:val="cs-CZ"/>
        </w:rPr>
        <w:t>Klíčové je, aby správci neznali identitu svých klientů. Tato ekonomická „nejistota“ na straně správců aktiv udrží systém nízkonákladový a pro klienta tudíž velmi efektivní, neboť přirozeně odrazuje od vyplácení předplacených provizí či excesivních marketingových nákladů. Zákon nastaví maximální výš</w:t>
      </w:r>
      <w:r w:rsidR="00B95AB1">
        <w:rPr>
          <w:lang w:val="cs-CZ"/>
        </w:rPr>
        <w:t>i</w:t>
      </w:r>
      <w:r>
        <w:rPr>
          <w:lang w:val="cs-CZ"/>
        </w:rPr>
        <w:t xml:space="preserve"> poplatku, který si správci mohou za své investiční služby účtovat. S ohledem na fakt, že správci by vykonávali pouze investiční služby, bude poplatek za správu aktiv – ve srovnání s pravidelnými investicemi v kolektivním investování – velmi</w:t>
      </w:r>
      <w:r>
        <w:rPr>
          <w:rFonts w:ascii="Calibri" w:eastAsia="Calibri" w:hAnsi="Calibri"/>
          <w:lang w:val="cs-CZ"/>
        </w:rPr>
        <w:t xml:space="preserve"> </w:t>
      </w:r>
      <w:r>
        <w:rPr>
          <w:lang w:val="cs-CZ"/>
        </w:rPr>
        <w:t>nízký a tudíž velmi konkurenceschopný a pro klienta efektivní.</w:t>
      </w:r>
    </w:p>
    <w:p w:rsidR="002F6D6A" w:rsidRDefault="002F6D6A" w:rsidP="00BF2239">
      <w:pPr>
        <w:spacing w:after="0" w:line="240" w:lineRule="auto"/>
        <w:rPr>
          <w:lang w:val="cs-CZ"/>
        </w:rPr>
      </w:pPr>
    </w:p>
    <w:p w:rsidR="001609E1" w:rsidRDefault="009200F9" w:rsidP="00BF2239">
      <w:pPr>
        <w:spacing w:after="0" w:line="240" w:lineRule="auto"/>
        <w:rPr>
          <w:lang w:val="cs-CZ"/>
        </w:rPr>
      </w:pPr>
      <w:r>
        <w:rPr>
          <w:lang w:val="cs-CZ"/>
        </w:rPr>
        <w:t>Největší mediální pozornost poutá bezesporu otázka zvyšování DPH. Je nutné jasně připomenout, že návrh NERV spočíval ve snížení povinného sociálního pojištění z 28 na 23%, přičemž výpadek příjmů by byl kompenzován sjednocením sazeb DPH na úrovni 19%. Tato operace je fiskálně přibližně neutrální</w:t>
      </w:r>
      <w:r w:rsidR="00C700D8">
        <w:rPr>
          <w:lang w:val="cs-CZ"/>
        </w:rPr>
        <w:t>. J</w:t>
      </w:r>
      <w:r>
        <w:rPr>
          <w:lang w:val="cs-CZ"/>
        </w:rPr>
        <w:t xml:space="preserve">de tudíž o změnu struktury zdanění v ekonomice, nikoliv změnu úrovně daňové kvóty. </w:t>
      </w:r>
      <w:r>
        <w:rPr>
          <w:lang w:val="cs-CZ"/>
        </w:rPr>
        <w:lastRenderedPageBreak/>
        <w:t xml:space="preserve">Nižší zdanění práce zvýší nabídku pracovních míst, zejména pro středně a </w:t>
      </w:r>
      <w:proofErr w:type="spellStart"/>
      <w:r>
        <w:rPr>
          <w:lang w:val="cs-CZ"/>
        </w:rPr>
        <w:t>nízkopříjmové</w:t>
      </w:r>
      <w:proofErr w:type="spellEnd"/>
      <w:r>
        <w:rPr>
          <w:lang w:val="cs-CZ"/>
        </w:rPr>
        <w:t xml:space="preserve"> pozice a napomůže tak zlepšit ekonomickou situaci řady domácností. Dostupné studie nadto jasně ukazují, že sjednocení sazeb DPH na 19% nezpůsobí žádný dramatický inflační šok, již v minulosti se upravovala DPH v podobném rozsahu. Případné tlaky směrem k důchodcům či sociálně slabým domácnostem </w:t>
      </w:r>
      <w:r w:rsidR="00DA0498">
        <w:rPr>
          <w:lang w:val="cs-CZ"/>
        </w:rPr>
        <w:t>zachytí systém sociálních dávek</w:t>
      </w:r>
      <w:r w:rsidR="00B95AB1">
        <w:rPr>
          <w:lang w:val="cs-CZ"/>
        </w:rPr>
        <w:t>,</w:t>
      </w:r>
      <w:r w:rsidR="00DA0498">
        <w:rPr>
          <w:lang w:val="cs-CZ"/>
        </w:rPr>
        <w:t xml:space="preserve"> valorizace životního minima</w:t>
      </w:r>
      <w:r w:rsidR="00B95AB1">
        <w:rPr>
          <w:lang w:val="cs-CZ"/>
        </w:rPr>
        <w:t xml:space="preserve"> a valorizace důchodů</w:t>
      </w:r>
      <w:r w:rsidR="00DA0498">
        <w:rPr>
          <w:lang w:val="cs-CZ"/>
        </w:rPr>
        <w:t>. Neplatí ani argument, že sjednocení DPH dopadne výrazně silněji na příjmově slabší domácnosti.</w:t>
      </w:r>
    </w:p>
    <w:p w:rsidR="001609E1" w:rsidRDefault="001609E1" w:rsidP="00BF2239">
      <w:pPr>
        <w:spacing w:after="0" w:line="240" w:lineRule="auto"/>
        <w:rPr>
          <w:lang w:val="cs-CZ"/>
        </w:rPr>
      </w:pPr>
    </w:p>
    <w:p w:rsidR="00DA0498" w:rsidRDefault="00DA0498" w:rsidP="00BF2239">
      <w:pPr>
        <w:spacing w:after="0" w:line="240" w:lineRule="auto"/>
        <w:rPr>
          <w:lang w:val="cs-CZ"/>
        </w:rPr>
      </w:pPr>
      <w:r>
        <w:rPr>
          <w:lang w:val="cs-CZ"/>
        </w:rPr>
        <w:t xml:space="preserve">Oč snáze by se argumentovalo například směrem ke knižnímu průmyslu, kde sjednocením sazeb DPH na navržených 19% hrozí zvýšení cen </w:t>
      </w:r>
      <w:r w:rsidR="00AF7DD0">
        <w:rPr>
          <w:lang w:val="cs-CZ"/>
        </w:rPr>
        <w:t xml:space="preserve">až </w:t>
      </w:r>
      <w:r>
        <w:rPr>
          <w:lang w:val="cs-CZ"/>
        </w:rPr>
        <w:t>o 8%</w:t>
      </w:r>
      <w:r w:rsidR="002D04F0">
        <w:rPr>
          <w:lang w:val="cs-CZ"/>
        </w:rPr>
        <w:t>, kdyby</w:t>
      </w:r>
      <w:r w:rsidR="002B28B7">
        <w:rPr>
          <w:lang w:val="cs-CZ"/>
        </w:rPr>
        <w:t>chom</w:t>
      </w:r>
      <w:r w:rsidR="002D04F0">
        <w:rPr>
          <w:lang w:val="cs-CZ"/>
        </w:rPr>
        <w:t xml:space="preserve"> mohl</w:t>
      </w:r>
      <w:r w:rsidR="002B28B7">
        <w:rPr>
          <w:lang w:val="cs-CZ"/>
        </w:rPr>
        <w:t>i</w:t>
      </w:r>
      <w:r w:rsidR="002D04F0">
        <w:rPr>
          <w:lang w:val="cs-CZ"/>
        </w:rPr>
        <w:t xml:space="preserve"> uvést, jak se v celém výrobním řetězci – počínaje výrobou papíru, tiskem knihy a konče jejím prodejem v knihkupectví – sníží výrobní náklady z titulu poklesu sociálního pojištění </w:t>
      </w:r>
      <w:r w:rsidR="00AF7DD0">
        <w:rPr>
          <w:lang w:val="cs-CZ"/>
        </w:rPr>
        <w:t xml:space="preserve">hrazeného zaměstnavatelem </w:t>
      </w:r>
      <w:r w:rsidR="002D04F0">
        <w:rPr>
          <w:lang w:val="cs-CZ"/>
        </w:rPr>
        <w:t>o 5</w:t>
      </w:r>
      <w:r w:rsidR="006F648B">
        <w:rPr>
          <w:lang w:val="cs-CZ"/>
        </w:rPr>
        <w:t>%</w:t>
      </w:r>
      <w:r w:rsidR="002D04F0">
        <w:rPr>
          <w:lang w:val="cs-CZ"/>
        </w:rPr>
        <w:t>. Stejně tak i směrem do zdravotnictví a jiných „postižených“ sektorů ekonomiky.</w:t>
      </w:r>
    </w:p>
    <w:p w:rsidR="00DA0498" w:rsidRDefault="00DA0498" w:rsidP="00BF2239">
      <w:pPr>
        <w:spacing w:after="0" w:line="240" w:lineRule="auto"/>
        <w:rPr>
          <w:lang w:val="cs-CZ"/>
        </w:rPr>
      </w:pPr>
    </w:p>
    <w:p w:rsidR="009200F9" w:rsidRDefault="00DA0498" w:rsidP="00BF2239">
      <w:pPr>
        <w:spacing w:after="0" w:line="240" w:lineRule="auto"/>
        <w:rPr>
          <w:lang w:val="cs-CZ"/>
        </w:rPr>
      </w:pPr>
      <w:r>
        <w:rPr>
          <w:lang w:val="cs-CZ"/>
        </w:rPr>
        <w:t>Pozice NERV k důchodové reformě je podstatně obsáhlejší, nicméně výše uvedené aspekty jsou nejčastěji dezinterpretovány. Proto níže uvedení členové NERV chtěli touto cestou uvést věci na pravou míru.</w:t>
      </w:r>
    </w:p>
    <w:p w:rsidR="00DA0498" w:rsidRDefault="00DA0498" w:rsidP="00BF2239">
      <w:pPr>
        <w:spacing w:after="0" w:line="240" w:lineRule="auto"/>
        <w:rPr>
          <w:lang w:val="cs-CZ"/>
        </w:rPr>
      </w:pPr>
    </w:p>
    <w:p w:rsidR="00DA0498" w:rsidRPr="00DA0498" w:rsidRDefault="00DA0498" w:rsidP="00BF2239">
      <w:pPr>
        <w:spacing w:after="0" w:line="240" w:lineRule="auto"/>
        <w:rPr>
          <w:i/>
          <w:lang w:val="cs-CZ"/>
        </w:rPr>
      </w:pPr>
      <w:r w:rsidRPr="00DA0498">
        <w:rPr>
          <w:i/>
          <w:lang w:val="cs-CZ"/>
        </w:rPr>
        <w:t>Vladimír Bezděk,</w:t>
      </w:r>
      <w:r w:rsidR="00564458">
        <w:rPr>
          <w:i/>
          <w:lang w:val="cs-CZ"/>
        </w:rPr>
        <w:t xml:space="preserve"> Daniel </w:t>
      </w:r>
      <w:proofErr w:type="spellStart"/>
      <w:r w:rsidR="00564458">
        <w:rPr>
          <w:i/>
          <w:lang w:val="cs-CZ"/>
        </w:rPr>
        <w:t>M</w:t>
      </w:r>
      <w:r w:rsidR="00564458">
        <w:rPr>
          <w:rFonts w:cstheme="minorHAnsi"/>
          <w:i/>
          <w:lang w:val="cs-CZ"/>
        </w:rPr>
        <w:t>ü</w:t>
      </w:r>
      <w:r w:rsidR="00564458">
        <w:rPr>
          <w:i/>
          <w:lang w:val="cs-CZ"/>
        </w:rPr>
        <w:t>nich</w:t>
      </w:r>
      <w:proofErr w:type="spellEnd"/>
      <w:r w:rsidR="00564458">
        <w:rPr>
          <w:i/>
          <w:lang w:val="cs-CZ"/>
        </w:rPr>
        <w:t xml:space="preserve">, </w:t>
      </w:r>
      <w:r w:rsidR="00231DA1">
        <w:rPr>
          <w:i/>
          <w:lang w:val="cs-CZ"/>
        </w:rPr>
        <w:t xml:space="preserve">Jan Procházka, </w:t>
      </w:r>
      <w:r w:rsidR="00564458">
        <w:rPr>
          <w:i/>
          <w:lang w:val="cs-CZ"/>
        </w:rPr>
        <w:t xml:space="preserve">Jiří </w:t>
      </w:r>
      <w:proofErr w:type="spellStart"/>
      <w:r w:rsidR="00564458">
        <w:rPr>
          <w:i/>
          <w:lang w:val="cs-CZ"/>
        </w:rPr>
        <w:t>Rusnok</w:t>
      </w:r>
      <w:proofErr w:type="spellEnd"/>
      <w:r w:rsidR="000834E6">
        <w:rPr>
          <w:i/>
          <w:lang w:val="cs-CZ"/>
        </w:rPr>
        <w:t>, Petr Zahradník, Miroslav Zámečník.</w:t>
      </w:r>
    </w:p>
    <w:p w:rsidR="009200F9" w:rsidRDefault="009200F9" w:rsidP="00BF2239">
      <w:pPr>
        <w:spacing w:after="0" w:line="240" w:lineRule="auto"/>
        <w:rPr>
          <w:lang w:val="cs-CZ"/>
        </w:rPr>
      </w:pPr>
    </w:p>
    <w:p w:rsidR="001609E1" w:rsidRPr="00D60267" w:rsidRDefault="001609E1" w:rsidP="00BF2239">
      <w:pPr>
        <w:spacing w:after="0" w:line="240" w:lineRule="auto"/>
        <w:rPr>
          <w:lang w:val="cs-CZ"/>
        </w:rPr>
      </w:pPr>
    </w:p>
    <w:p w:rsidR="00BF2239" w:rsidRPr="00D60267" w:rsidRDefault="00BF2239">
      <w:pPr>
        <w:rPr>
          <w:lang w:val="cs-CZ"/>
        </w:rPr>
      </w:pPr>
    </w:p>
    <w:sectPr w:rsidR="00BF2239" w:rsidRPr="00D60267" w:rsidSect="00070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BF2239"/>
    <w:rsid w:val="00033474"/>
    <w:rsid w:val="00070E97"/>
    <w:rsid w:val="000834E6"/>
    <w:rsid w:val="001609E1"/>
    <w:rsid w:val="0017057A"/>
    <w:rsid w:val="00231DA1"/>
    <w:rsid w:val="00246B54"/>
    <w:rsid w:val="002B28B7"/>
    <w:rsid w:val="002D04F0"/>
    <w:rsid w:val="002F6D6A"/>
    <w:rsid w:val="00476BF6"/>
    <w:rsid w:val="00564458"/>
    <w:rsid w:val="006F648B"/>
    <w:rsid w:val="00821B49"/>
    <w:rsid w:val="00823960"/>
    <w:rsid w:val="008409A7"/>
    <w:rsid w:val="008E2E76"/>
    <w:rsid w:val="009200F9"/>
    <w:rsid w:val="00AE0428"/>
    <w:rsid w:val="00AF7DD0"/>
    <w:rsid w:val="00B94F6C"/>
    <w:rsid w:val="00B95AB1"/>
    <w:rsid w:val="00BF2239"/>
    <w:rsid w:val="00C700D8"/>
    <w:rsid w:val="00D60267"/>
    <w:rsid w:val="00DA0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vladimir.bezdek</dc:creator>
  <cp:lastModifiedBy>petra</cp:lastModifiedBy>
  <cp:revision>2</cp:revision>
  <dcterms:created xsi:type="dcterms:W3CDTF">2011-04-26T22:06:00Z</dcterms:created>
  <dcterms:modified xsi:type="dcterms:W3CDTF">2011-04-26T22:06:00Z</dcterms:modified>
</cp:coreProperties>
</file>